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7CC21" w14:textId="77777777" w:rsidR="008472F8" w:rsidRDefault="008472F8">
      <w:pPr>
        <w:rPr>
          <w:rFonts w:ascii="Arial" w:hAnsi="Arial" w:cs="Arial"/>
          <w:sz w:val="28"/>
          <w:szCs w:val="28"/>
        </w:rPr>
      </w:pPr>
    </w:p>
    <w:p w14:paraId="4C5FB623" w14:textId="0911593A" w:rsidR="008472F8" w:rsidRDefault="008472F8">
      <w:pPr>
        <w:rPr>
          <w:rFonts w:ascii="Arial" w:hAnsi="Arial" w:cs="Arial"/>
          <w:sz w:val="28"/>
          <w:szCs w:val="28"/>
        </w:rPr>
      </w:pPr>
      <w:r>
        <w:rPr>
          <w:rFonts w:ascii="Arial" w:hAnsi="Arial" w:cs="Arial"/>
          <w:noProof/>
          <w:sz w:val="28"/>
          <w:szCs w:val="28"/>
        </w:rPr>
        <w:drawing>
          <wp:inline distT="0" distB="0" distL="0" distR="0" wp14:anchorId="27877447" wp14:editId="39815060">
            <wp:extent cx="1828800" cy="438912"/>
            <wp:effectExtent l="0" t="0" r="0" b="0"/>
            <wp:docPr id="93451893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518934" name="Picture 1" descr="A close up of a 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438912"/>
                    </a:xfrm>
                    <a:prstGeom prst="rect">
                      <a:avLst/>
                    </a:prstGeom>
                  </pic:spPr>
                </pic:pic>
              </a:graphicData>
            </a:graphic>
          </wp:inline>
        </w:drawing>
      </w:r>
      <w:r w:rsidR="001971B7">
        <w:rPr>
          <w:rFonts w:ascii="Arial" w:hAnsi="Arial" w:cs="Arial"/>
          <w:sz w:val="28"/>
          <w:szCs w:val="28"/>
        </w:rPr>
        <w:t xml:space="preserve">               Spring 2024</w:t>
      </w:r>
    </w:p>
    <w:p w14:paraId="0A0AFFCC" w14:textId="77777777" w:rsidR="008472F8" w:rsidRDefault="008472F8">
      <w:pPr>
        <w:rPr>
          <w:rFonts w:ascii="Arial" w:hAnsi="Arial" w:cs="Arial"/>
          <w:sz w:val="28"/>
          <w:szCs w:val="28"/>
        </w:rPr>
      </w:pPr>
    </w:p>
    <w:p w14:paraId="151AB94F" w14:textId="5FFEDF22" w:rsidR="00771840" w:rsidRDefault="007612AE">
      <w:pPr>
        <w:rPr>
          <w:rFonts w:ascii="Arial" w:hAnsi="Arial" w:cs="Arial"/>
          <w:b/>
          <w:bCs/>
          <w:sz w:val="28"/>
          <w:szCs w:val="28"/>
          <w:u w:val="single"/>
        </w:rPr>
      </w:pPr>
      <w:r w:rsidRPr="001971B7">
        <w:rPr>
          <w:rFonts w:ascii="Arial" w:hAnsi="Arial" w:cs="Arial"/>
          <w:b/>
          <w:bCs/>
          <w:sz w:val="28"/>
          <w:szCs w:val="28"/>
          <w:u w:val="single"/>
        </w:rPr>
        <w:t xml:space="preserve">What’s the process when a Trust (or Estate) is IRA Beneficiary?  </w:t>
      </w:r>
    </w:p>
    <w:p w14:paraId="745AB2C9" w14:textId="77777777" w:rsidR="001971B7" w:rsidRPr="001971B7" w:rsidRDefault="001971B7">
      <w:pPr>
        <w:rPr>
          <w:rFonts w:ascii="Arial" w:hAnsi="Arial" w:cs="Arial"/>
          <w:b/>
          <w:bCs/>
          <w:sz w:val="28"/>
          <w:szCs w:val="28"/>
          <w:u w:val="single"/>
        </w:rPr>
      </w:pPr>
    </w:p>
    <w:p w14:paraId="36FA51B0" w14:textId="32509242" w:rsidR="007612AE" w:rsidRPr="008472F8" w:rsidRDefault="007612AE">
      <w:pPr>
        <w:rPr>
          <w:rFonts w:ascii="Arial" w:hAnsi="Arial" w:cs="Arial"/>
          <w:sz w:val="28"/>
          <w:szCs w:val="28"/>
        </w:rPr>
      </w:pPr>
      <w:r w:rsidRPr="008472F8">
        <w:rPr>
          <w:rFonts w:ascii="Arial" w:hAnsi="Arial" w:cs="Arial"/>
          <w:sz w:val="28"/>
          <w:szCs w:val="28"/>
        </w:rPr>
        <w:t xml:space="preserve">The same conversation has </w:t>
      </w:r>
      <w:r w:rsidR="008472F8" w:rsidRPr="008472F8">
        <w:rPr>
          <w:rFonts w:ascii="Arial" w:hAnsi="Arial" w:cs="Arial"/>
          <w:sz w:val="28"/>
          <w:szCs w:val="28"/>
        </w:rPr>
        <w:t>understandably</w:t>
      </w:r>
      <w:r w:rsidRPr="008472F8">
        <w:rPr>
          <w:rFonts w:ascii="Arial" w:hAnsi="Arial" w:cs="Arial"/>
          <w:sz w:val="28"/>
          <w:szCs w:val="28"/>
        </w:rPr>
        <w:t xml:space="preserve"> been repeated many times.  The </w:t>
      </w:r>
      <w:r w:rsidR="000906EF" w:rsidRPr="008472F8">
        <w:rPr>
          <w:rFonts w:ascii="Arial" w:hAnsi="Arial" w:cs="Arial"/>
          <w:sz w:val="28"/>
          <w:szCs w:val="28"/>
        </w:rPr>
        <w:t>questions</w:t>
      </w:r>
      <w:r w:rsidRPr="008472F8">
        <w:rPr>
          <w:rFonts w:ascii="Arial" w:hAnsi="Arial" w:cs="Arial"/>
          <w:sz w:val="28"/>
          <w:szCs w:val="28"/>
        </w:rPr>
        <w:t xml:space="preserve"> are similar: “What do we do when a trust (or estate) is IRA beneficiary?  How do we set up the account?  Aren’t we now stuck with the high trust tax rates?  Of course, there is not enough space here to get de</w:t>
      </w:r>
      <w:r w:rsidR="000906EF" w:rsidRPr="008472F8">
        <w:rPr>
          <w:rFonts w:ascii="Arial" w:hAnsi="Arial" w:cs="Arial"/>
          <w:sz w:val="28"/>
          <w:szCs w:val="28"/>
        </w:rPr>
        <w:t>e</w:t>
      </w:r>
      <w:r w:rsidRPr="008472F8">
        <w:rPr>
          <w:rFonts w:ascii="Arial" w:hAnsi="Arial" w:cs="Arial"/>
          <w:sz w:val="28"/>
          <w:szCs w:val="28"/>
        </w:rPr>
        <w:t>p into the we</w:t>
      </w:r>
      <w:r w:rsidR="000906EF" w:rsidRPr="008472F8">
        <w:rPr>
          <w:rFonts w:ascii="Arial" w:hAnsi="Arial" w:cs="Arial"/>
          <w:sz w:val="28"/>
          <w:szCs w:val="28"/>
        </w:rPr>
        <w:t>e</w:t>
      </w:r>
      <w:r w:rsidRPr="008472F8">
        <w:rPr>
          <w:rFonts w:ascii="Arial" w:hAnsi="Arial" w:cs="Arial"/>
          <w:sz w:val="28"/>
          <w:szCs w:val="28"/>
        </w:rPr>
        <w:t xml:space="preserve">ds, but there are some </w:t>
      </w:r>
      <w:r w:rsidR="000906EF" w:rsidRPr="008472F8">
        <w:rPr>
          <w:rFonts w:ascii="Arial" w:hAnsi="Arial" w:cs="Arial"/>
          <w:sz w:val="28"/>
          <w:szCs w:val="28"/>
        </w:rPr>
        <w:t>foundational</w:t>
      </w:r>
      <w:r w:rsidRPr="008472F8">
        <w:rPr>
          <w:rFonts w:ascii="Arial" w:hAnsi="Arial" w:cs="Arial"/>
          <w:sz w:val="28"/>
          <w:szCs w:val="28"/>
        </w:rPr>
        <w:t xml:space="preserve"> </w:t>
      </w:r>
      <w:r w:rsidR="000906EF" w:rsidRPr="008472F8">
        <w:rPr>
          <w:rFonts w:ascii="Arial" w:hAnsi="Arial" w:cs="Arial"/>
          <w:sz w:val="28"/>
          <w:szCs w:val="28"/>
        </w:rPr>
        <w:t>considerations</w:t>
      </w:r>
      <w:r w:rsidRPr="008472F8">
        <w:rPr>
          <w:rFonts w:ascii="Arial" w:hAnsi="Arial" w:cs="Arial"/>
          <w:sz w:val="28"/>
          <w:szCs w:val="28"/>
        </w:rPr>
        <w:t xml:space="preserve"> to cover when it comes to this confusing topic.</w:t>
      </w:r>
    </w:p>
    <w:p w14:paraId="04A79D60" w14:textId="3A17EBEA" w:rsidR="007612AE" w:rsidRPr="008472F8" w:rsidRDefault="007612AE">
      <w:pPr>
        <w:rPr>
          <w:rFonts w:ascii="Arial" w:hAnsi="Arial" w:cs="Arial"/>
          <w:sz w:val="28"/>
          <w:szCs w:val="28"/>
        </w:rPr>
      </w:pPr>
      <w:r w:rsidRPr="008472F8">
        <w:rPr>
          <w:rFonts w:ascii="Arial" w:hAnsi="Arial" w:cs="Arial"/>
          <w:b/>
          <w:bCs/>
          <w:sz w:val="28"/>
          <w:szCs w:val="28"/>
        </w:rPr>
        <w:t>Account Ownership</w:t>
      </w:r>
      <w:r w:rsidRPr="008472F8">
        <w:rPr>
          <w:rFonts w:ascii="Arial" w:hAnsi="Arial" w:cs="Arial"/>
          <w:sz w:val="28"/>
          <w:szCs w:val="28"/>
        </w:rPr>
        <w:t xml:space="preserve"> – When a trust or estate is </w:t>
      </w:r>
      <w:r w:rsidR="000906EF" w:rsidRPr="008472F8">
        <w:rPr>
          <w:rFonts w:ascii="Arial" w:hAnsi="Arial" w:cs="Arial"/>
          <w:sz w:val="28"/>
          <w:szCs w:val="28"/>
        </w:rPr>
        <w:t>named</w:t>
      </w:r>
      <w:r w:rsidRPr="008472F8">
        <w:rPr>
          <w:rFonts w:ascii="Arial" w:hAnsi="Arial" w:cs="Arial"/>
          <w:sz w:val="28"/>
          <w:szCs w:val="28"/>
        </w:rPr>
        <w:t xml:space="preserve"> as IRA beneficiary, then the trust or estate is the beneficiary</w:t>
      </w:r>
      <w:r w:rsidR="000906EF" w:rsidRPr="008472F8">
        <w:rPr>
          <w:rFonts w:ascii="Arial" w:hAnsi="Arial" w:cs="Arial"/>
          <w:sz w:val="28"/>
          <w:szCs w:val="28"/>
        </w:rPr>
        <w:t>.</w:t>
      </w:r>
      <w:r w:rsidRPr="008472F8">
        <w:rPr>
          <w:rFonts w:ascii="Arial" w:hAnsi="Arial" w:cs="Arial"/>
          <w:sz w:val="28"/>
          <w:szCs w:val="28"/>
        </w:rPr>
        <w:t xml:space="preserve">  The </w:t>
      </w:r>
      <w:r w:rsidR="000906EF" w:rsidRPr="008472F8">
        <w:rPr>
          <w:rFonts w:ascii="Arial" w:hAnsi="Arial" w:cs="Arial"/>
          <w:sz w:val="28"/>
          <w:szCs w:val="28"/>
        </w:rPr>
        <w:t>beneficiary</w:t>
      </w:r>
      <w:r w:rsidRPr="008472F8">
        <w:rPr>
          <w:rFonts w:ascii="Arial" w:hAnsi="Arial" w:cs="Arial"/>
          <w:sz w:val="28"/>
          <w:szCs w:val="28"/>
        </w:rPr>
        <w:t xml:space="preserve"> is NOT the trust </w:t>
      </w:r>
      <w:r w:rsidR="000906EF" w:rsidRPr="008472F8">
        <w:rPr>
          <w:rFonts w:ascii="Arial" w:hAnsi="Arial" w:cs="Arial"/>
          <w:sz w:val="28"/>
          <w:szCs w:val="28"/>
        </w:rPr>
        <w:t>beneficiaries</w:t>
      </w:r>
      <w:r w:rsidRPr="008472F8">
        <w:rPr>
          <w:rFonts w:ascii="Arial" w:hAnsi="Arial" w:cs="Arial"/>
          <w:sz w:val="28"/>
          <w:szCs w:val="28"/>
        </w:rPr>
        <w:t xml:space="preserve"> or the beneficiaries of the estate.  We do not get to automatically disregard </w:t>
      </w:r>
      <w:proofErr w:type="gramStart"/>
      <w:r w:rsidRPr="008472F8">
        <w:rPr>
          <w:rFonts w:ascii="Arial" w:hAnsi="Arial" w:cs="Arial"/>
          <w:sz w:val="28"/>
          <w:szCs w:val="28"/>
        </w:rPr>
        <w:t>the trust</w:t>
      </w:r>
      <w:proofErr w:type="gramEnd"/>
      <w:r w:rsidRPr="008472F8">
        <w:rPr>
          <w:rFonts w:ascii="Arial" w:hAnsi="Arial" w:cs="Arial"/>
          <w:sz w:val="28"/>
          <w:szCs w:val="28"/>
        </w:rPr>
        <w:t xml:space="preserve"> or estate and set up an inherited IRA for any of those people (assuming they are people).  I</w:t>
      </w:r>
      <w:r w:rsidR="000906EF" w:rsidRPr="008472F8">
        <w:rPr>
          <w:rFonts w:ascii="Arial" w:hAnsi="Arial" w:cs="Arial"/>
          <w:sz w:val="28"/>
          <w:szCs w:val="28"/>
        </w:rPr>
        <w:t>n</w:t>
      </w:r>
      <w:r w:rsidRPr="008472F8">
        <w:rPr>
          <w:rFonts w:ascii="Arial" w:hAnsi="Arial" w:cs="Arial"/>
          <w:sz w:val="28"/>
          <w:szCs w:val="28"/>
        </w:rPr>
        <w:t xml:space="preserve"> fact, we must set up a trust-owned or estate-owned inherited I</w:t>
      </w:r>
      <w:r w:rsidR="000906EF" w:rsidRPr="008472F8">
        <w:rPr>
          <w:rFonts w:ascii="Arial" w:hAnsi="Arial" w:cs="Arial"/>
          <w:sz w:val="28"/>
          <w:szCs w:val="28"/>
        </w:rPr>
        <w:t>R</w:t>
      </w:r>
      <w:r w:rsidRPr="008472F8">
        <w:rPr>
          <w:rFonts w:ascii="Arial" w:hAnsi="Arial" w:cs="Arial"/>
          <w:sz w:val="28"/>
          <w:szCs w:val="28"/>
        </w:rPr>
        <w:t>A.  The trust or estate oversees the account – or more specifically, the trust trustee or the executor of the estate is in charge.  For a trust-owed inherited IRA, the titling of the account might be something like</w:t>
      </w:r>
      <w:r w:rsidR="000906EF" w:rsidRPr="008472F8">
        <w:rPr>
          <w:rFonts w:ascii="Arial" w:hAnsi="Arial" w:cs="Arial"/>
          <w:sz w:val="28"/>
          <w:szCs w:val="28"/>
        </w:rPr>
        <w:t>: “</w:t>
      </w:r>
      <w:r w:rsidRPr="008472F8">
        <w:rPr>
          <w:rFonts w:ascii="Arial" w:hAnsi="Arial" w:cs="Arial"/>
          <w:sz w:val="28"/>
          <w:szCs w:val="28"/>
        </w:rPr>
        <w:t>William Smith IRA (deceased June 1, 2021) F/B/O Adam Johnson, Trustee of The Smith Family Trust, beneficiary.”</w:t>
      </w:r>
    </w:p>
    <w:p w14:paraId="41A4824C" w14:textId="6F48B279" w:rsidR="007612AE" w:rsidRPr="008472F8" w:rsidRDefault="007612AE">
      <w:pPr>
        <w:rPr>
          <w:rFonts w:ascii="Arial" w:hAnsi="Arial" w:cs="Arial"/>
          <w:sz w:val="28"/>
          <w:szCs w:val="28"/>
        </w:rPr>
      </w:pPr>
      <w:r w:rsidRPr="008472F8">
        <w:rPr>
          <w:rFonts w:ascii="Arial" w:hAnsi="Arial" w:cs="Arial"/>
          <w:b/>
          <w:bCs/>
          <w:sz w:val="28"/>
          <w:szCs w:val="28"/>
        </w:rPr>
        <w:t>Payout Rules</w:t>
      </w:r>
      <w:r w:rsidRPr="008472F8">
        <w:rPr>
          <w:rFonts w:ascii="Arial" w:hAnsi="Arial" w:cs="Arial"/>
          <w:sz w:val="28"/>
          <w:szCs w:val="28"/>
        </w:rPr>
        <w:t xml:space="preserve"> – An estate is a non-designated beneficiary, or what I like to call a ‘non-person’ beneficiary.  When a non-person </w:t>
      </w:r>
      <w:r w:rsidR="000906EF" w:rsidRPr="008472F8">
        <w:rPr>
          <w:rFonts w:ascii="Arial" w:hAnsi="Arial" w:cs="Arial"/>
          <w:sz w:val="28"/>
          <w:szCs w:val="28"/>
        </w:rPr>
        <w:t>inherits</w:t>
      </w:r>
      <w:r w:rsidRPr="008472F8">
        <w:rPr>
          <w:rFonts w:ascii="Arial" w:hAnsi="Arial" w:cs="Arial"/>
          <w:sz w:val="28"/>
          <w:szCs w:val="28"/>
        </w:rPr>
        <w:t xml:space="preserve"> an IRA, there are only two possible payout structures (not counting a lump </w:t>
      </w:r>
      <w:r w:rsidR="000906EF" w:rsidRPr="008472F8">
        <w:rPr>
          <w:rFonts w:ascii="Arial" w:hAnsi="Arial" w:cs="Arial"/>
          <w:sz w:val="28"/>
          <w:szCs w:val="28"/>
        </w:rPr>
        <w:t>sum</w:t>
      </w:r>
      <w:r w:rsidRPr="008472F8">
        <w:rPr>
          <w:rFonts w:ascii="Arial" w:hAnsi="Arial" w:cs="Arial"/>
          <w:sz w:val="28"/>
          <w:szCs w:val="28"/>
        </w:rPr>
        <w:t xml:space="preserve"> distribution):  the 5-year rule or the ‘ghost’ rule.  Which payout rule applies depends on when the original IRA owner died in relation to his required beginning date (RBD).  The RBD is April 1 of the year after the </w:t>
      </w:r>
      <w:r w:rsidR="000906EF" w:rsidRPr="008472F8">
        <w:rPr>
          <w:rFonts w:ascii="Arial" w:hAnsi="Arial" w:cs="Arial"/>
          <w:sz w:val="28"/>
          <w:szCs w:val="28"/>
        </w:rPr>
        <w:t>year</w:t>
      </w:r>
      <w:r w:rsidRPr="008472F8">
        <w:rPr>
          <w:rFonts w:ascii="Arial" w:hAnsi="Arial" w:cs="Arial"/>
          <w:sz w:val="28"/>
          <w:szCs w:val="28"/>
        </w:rPr>
        <w:t xml:space="preserve"> a person turns 73 (or whatever RMD age was in effect at the time, e.g., 70-1/2 or 72).  When death is before the RBD, we get the 5-year rule.  There are no required minimum distributions (RMDs) during the </w:t>
      </w:r>
      <w:r w:rsidR="000906EF" w:rsidRPr="008472F8">
        <w:rPr>
          <w:rFonts w:ascii="Arial" w:hAnsi="Arial" w:cs="Arial"/>
          <w:sz w:val="28"/>
          <w:szCs w:val="28"/>
        </w:rPr>
        <w:t>5 years</w:t>
      </w:r>
      <w:r w:rsidRPr="008472F8">
        <w:rPr>
          <w:rFonts w:ascii="Arial" w:hAnsi="Arial" w:cs="Arial"/>
          <w:sz w:val="28"/>
          <w:szCs w:val="28"/>
        </w:rPr>
        <w:t xml:space="preserve">.  The account must simply </w:t>
      </w:r>
      <w:r w:rsidR="000906EF" w:rsidRPr="008472F8">
        <w:rPr>
          <w:rFonts w:ascii="Arial" w:hAnsi="Arial" w:cs="Arial"/>
          <w:sz w:val="28"/>
          <w:szCs w:val="28"/>
        </w:rPr>
        <w:t>be emptied</w:t>
      </w:r>
      <w:r w:rsidRPr="008472F8">
        <w:rPr>
          <w:rFonts w:ascii="Arial" w:hAnsi="Arial" w:cs="Arial"/>
          <w:sz w:val="28"/>
          <w:szCs w:val="28"/>
        </w:rPr>
        <w:t xml:space="preserve"> by the end of the </w:t>
      </w:r>
      <w:r w:rsidR="000906EF" w:rsidRPr="008472F8">
        <w:rPr>
          <w:rFonts w:ascii="Arial" w:hAnsi="Arial" w:cs="Arial"/>
          <w:sz w:val="28"/>
          <w:szCs w:val="28"/>
        </w:rPr>
        <w:t>fifth</w:t>
      </w:r>
      <w:r w:rsidRPr="008472F8">
        <w:rPr>
          <w:rFonts w:ascii="Arial" w:hAnsi="Arial" w:cs="Arial"/>
          <w:sz w:val="28"/>
          <w:szCs w:val="28"/>
        </w:rPr>
        <w:t xml:space="preserve"> year after the year of death.</w:t>
      </w:r>
    </w:p>
    <w:p w14:paraId="76603DDB" w14:textId="77777777" w:rsidR="001971B7" w:rsidRDefault="007612AE">
      <w:pPr>
        <w:rPr>
          <w:rFonts w:ascii="Arial" w:hAnsi="Arial" w:cs="Arial"/>
          <w:sz w:val="28"/>
          <w:szCs w:val="28"/>
        </w:rPr>
      </w:pPr>
      <w:r w:rsidRPr="008472F8">
        <w:rPr>
          <w:rFonts w:ascii="Arial" w:hAnsi="Arial" w:cs="Arial"/>
          <w:sz w:val="28"/>
          <w:szCs w:val="28"/>
        </w:rPr>
        <w:t xml:space="preserve">When death is on or after the RMD, we use the ghost rule.  Annual RMDs apply to the estate-owned inherited IRA based on the deceased </w:t>
      </w:r>
      <w:proofErr w:type="gramStart"/>
      <w:r w:rsidRPr="008472F8">
        <w:rPr>
          <w:rFonts w:ascii="Arial" w:hAnsi="Arial" w:cs="Arial"/>
          <w:sz w:val="28"/>
          <w:szCs w:val="28"/>
        </w:rPr>
        <w:t>IRA</w:t>
      </w:r>
      <w:proofErr w:type="gramEnd"/>
      <w:r w:rsidRPr="008472F8">
        <w:rPr>
          <w:rFonts w:ascii="Arial" w:hAnsi="Arial" w:cs="Arial"/>
          <w:sz w:val="28"/>
          <w:szCs w:val="28"/>
        </w:rPr>
        <w:t xml:space="preserve"> </w:t>
      </w:r>
    </w:p>
    <w:p w14:paraId="4870E7F8" w14:textId="77777777" w:rsidR="001971B7" w:rsidRDefault="001971B7">
      <w:pPr>
        <w:rPr>
          <w:rFonts w:ascii="Arial" w:hAnsi="Arial" w:cs="Arial"/>
          <w:sz w:val="28"/>
          <w:szCs w:val="28"/>
        </w:rPr>
      </w:pPr>
    </w:p>
    <w:p w14:paraId="4897AABE" w14:textId="6531F42A" w:rsidR="007612AE" w:rsidRPr="008472F8" w:rsidRDefault="007612AE">
      <w:pPr>
        <w:rPr>
          <w:rFonts w:ascii="Arial" w:hAnsi="Arial" w:cs="Arial"/>
          <w:sz w:val="28"/>
          <w:szCs w:val="28"/>
        </w:rPr>
      </w:pPr>
      <w:r w:rsidRPr="008472F8">
        <w:rPr>
          <w:rFonts w:ascii="Arial" w:hAnsi="Arial" w:cs="Arial"/>
          <w:sz w:val="28"/>
          <w:szCs w:val="28"/>
        </w:rPr>
        <w:t xml:space="preserve">owner’s remaining single life expectancy, had he survived.  Use the </w:t>
      </w:r>
      <w:r w:rsidR="000906EF" w:rsidRPr="008472F8">
        <w:rPr>
          <w:rFonts w:ascii="Arial" w:hAnsi="Arial" w:cs="Arial"/>
          <w:sz w:val="28"/>
          <w:szCs w:val="28"/>
        </w:rPr>
        <w:t>dependent’s</w:t>
      </w:r>
      <w:r w:rsidRPr="008472F8">
        <w:rPr>
          <w:rFonts w:ascii="Arial" w:hAnsi="Arial" w:cs="Arial"/>
          <w:sz w:val="28"/>
          <w:szCs w:val="28"/>
        </w:rPr>
        <w:t xml:space="preserve"> ag</w:t>
      </w:r>
      <w:r w:rsidR="000906EF" w:rsidRPr="008472F8">
        <w:rPr>
          <w:rFonts w:ascii="Arial" w:hAnsi="Arial" w:cs="Arial"/>
          <w:sz w:val="28"/>
          <w:szCs w:val="28"/>
        </w:rPr>
        <w:t>e</w:t>
      </w:r>
      <w:r w:rsidRPr="008472F8">
        <w:rPr>
          <w:rFonts w:ascii="Arial" w:hAnsi="Arial" w:cs="Arial"/>
          <w:sz w:val="28"/>
          <w:szCs w:val="28"/>
        </w:rPr>
        <w:t xml:space="preserve"> in the year OF death to find the initial factor.  Then subtract </w:t>
      </w:r>
      <w:r w:rsidR="000906EF" w:rsidRPr="008472F8">
        <w:rPr>
          <w:rFonts w:ascii="Arial" w:hAnsi="Arial" w:cs="Arial"/>
          <w:sz w:val="28"/>
          <w:szCs w:val="28"/>
        </w:rPr>
        <w:t>one</w:t>
      </w:r>
      <w:r w:rsidRPr="008472F8">
        <w:rPr>
          <w:rFonts w:ascii="Arial" w:hAnsi="Arial" w:cs="Arial"/>
          <w:sz w:val="28"/>
          <w:szCs w:val="28"/>
        </w:rPr>
        <w:t xml:space="preserve"> from this factor for each successive </w:t>
      </w:r>
      <w:r w:rsidR="000906EF" w:rsidRPr="008472F8">
        <w:rPr>
          <w:rFonts w:ascii="Arial" w:hAnsi="Arial" w:cs="Arial"/>
          <w:sz w:val="28"/>
          <w:szCs w:val="28"/>
        </w:rPr>
        <w:t>year</w:t>
      </w:r>
      <w:r w:rsidRPr="008472F8">
        <w:rPr>
          <w:rFonts w:ascii="Arial" w:hAnsi="Arial" w:cs="Arial"/>
          <w:sz w:val="28"/>
          <w:szCs w:val="28"/>
        </w:rPr>
        <w:t>.</w:t>
      </w:r>
    </w:p>
    <w:p w14:paraId="42B0404D" w14:textId="6A33B7DE" w:rsidR="007612AE" w:rsidRPr="008472F8" w:rsidRDefault="000906EF">
      <w:pPr>
        <w:rPr>
          <w:rFonts w:ascii="Arial" w:hAnsi="Arial" w:cs="Arial"/>
          <w:sz w:val="28"/>
          <w:szCs w:val="28"/>
        </w:rPr>
      </w:pPr>
      <w:r w:rsidRPr="008472F8">
        <w:rPr>
          <w:rFonts w:ascii="Arial" w:hAnsi="Arial" w:cs="Arial"/>
          <w:sz w:val="28"/>
          <w:szCs w:val="28"/>
        </w:rPr>
        <w:t>If a trust is named as IRA beneficiary, and if that trust passed the ‘look through’ or ‘see-through’ rules, we can avoid the 5-year/ghost payouts.  With a see-through trust, we can ‘look through’ the trust to the trust beneficiary and use that person’s status to determine the payout applicable to the trust-owned inherited IRA.  For example, if the trust beneficiary would be subject to the 10-year rule, then we use that.  If the trust beneficiary qualified as an eligible designed beneficiary (for example, because she is disabled), then we can apply that person’s age for full lifetime RMD stretch payouts from the trust-owned inherited IRA.</w:t>
      </w:r>
    </w:p>
    <w:p w14:paraId="4CA195F2" w14:textId="354A501E" w:rsidR="008472F8" w:rsidRPr="008472F8" w:rsidRDefault="000906EF">
      <w:pPr>
        <w:rPr>
          <w:rFonts w:ascii="Arial" w:hAnsi="Arial" w:cs="Arial"/>
          <w:sz w:val="28"/>
          <w:szCs w:val="28"/>
        </w:rPr>
      </w:pPr>
      <w:r w:rsidRPr="008472F8">
        <w:rPr>
          <w:rFonts w:ascii="Arial" w:hAnsi="Arial" w:cs="Arial"/>
          <w:sz w:val="28"/>
          <w:szCs w:val="28"/>
        </w:rPr>
        <w:t xml:space="preserve">Taxes – It is often assumed that with a trust or estate as IRA beneficiary, high tax rates will </w:t>
      </w:r>
      <w:r w:rsidR="008472F8" w:rsidRPr="008472F8">
        <w:rPr>
          <w:rFonts w:ascii="Arial" w:hAnsi="Arial" w:cs="Arial"/>
          <w:sz w:val="28"/>
          <w:szCs w:val="28"/>
        </w:rPr>
        <w:t>automatically</w:t>
      </w:r>
      <w:r w:rsidRPr="008472F8">
        <w:rPr>
          <w:rFonts w:ascii="Arial" w:hAnsi="Arial" w:cs="Arial"/>
          <w:sz w:val="28"/>
          <w:szCs w:val="28"/>
        </w:rPr>
        <w:t xml:space="preserve"> apply.  For comparison purposes trusts hit the 37% bracket in 2024 when ordinary income exceeds $15,200.  A married couple, filing joint, doesn’t hit the 37% bracket until income exceeds $731,200.  But the high trust tax rates only apply when payouts from the trust-owned inherited IRA remain in the trust account.  Such is not always the case.  Oftentimes, dollars paid out of a trust-owned (or estate owned) inherited IRA will flow through the </w:t>
      </w:r>
      <w:r w:rsidR="008472F8" w:rsidRPr="008472F8">
        <w:rPr>
          <w:rFonts w:ascii="Arial" w:hAnsi="Arial" w:cs="Arial"/>
          <w:sz w:val="28"/>
          <w:szCs w:val="28"/>
        </w:rPr>
        <w:t>trust or estate and be distributed to the trust or estate beneficiary.  This allows the taxes due to be shifted to these beneficiaries at whatever the personal tax bracket may be.</w:t>
      </w:r>
    </w:p>
    <w:p w14:paraId="497939E3" w14:textId="77777777" w:rsidR="000906EF" w:rsidRPr="008472F8" w:rsidRDefault="000906EF">
      <w:pPr>
        <w:rPr>
          <w:rFonts w:ascii="Arial" w:hAnsi="Arial" w:cs="Arial"/>
          <w:sz w:val="28"/>
          <w:szCs w:val="28"/>
        </w:rPr>
      </w:pPr>
    </w:p>
    <w:p w14:paraId="2D5DCB80" w14:textId="60B30804" w:rsidR="007612AE" w:rsidRPr="008472F8" w:rsidRDefault="008472F8">
      <w:pPr>
        <w:rPr>
          <w:rStyle w:val="Emphasis"/>
          <w:rFonts w:ascii="Arial" w:hAnsi="Arial" w:cs="Arial"/>
          <w:sz w:val="28"/>
          <w:szCs w:val="28"/>
          <w:shd w:val="clear" w:color="auto" w:fill="FFFFFF"/>
        </w:rPr>
      </w:pPr>
      <w:r w:rsidRPr="008472F8">
        <w:rPr>
          <w:rFonts w:ascii="Arial" w:hAnsi="Arial" w:cs="Arial"/>
          <w:sz w:val="28"/>
          <w:szCs w:val="28"/>
          <w:shd w:val="clear" w:color="auto" w:fill="FFFFFF"/>
        </w:rPr>
        <w:t>When a trust or estate is the beneficiary of an IRA, there are special rules that must be followed. Things can get complicated quickly. Before haphazardly opening new inherited accounts and bouncing IRA money around, it is important to understand some basic concepts – </w:t>
      </w:r>
      <w:r w:rsidRPr="008472F8">
        <w:rPr>
          <w:rStyle w:val="Emphasis"/>
          <w:rFonts w:ascii="Arial" w:hAnsi="Arial" w:cs="Arial"/>
          <w:sz w:val="28"/>
          <w:szCs w:val="28"/>
          <w:shd w:val="clear" w:color="auto" w:fill="FFFFFF"/>
        </w:rPr>
        <w:t>like ownership structure, applicable payout rules and taxes.</w:t>
      </w:r>
    </w:p>
    <w:p w14:paraId="3D21D9B5" w14:textId="588987FD" w:rsidR="008472F8" w:rsidRDefault="008472F8">
      <w:pPr>
        <w:rPr>
          <w:rFonts w:ascii="Arial" w:hAnsi="Arial" w:cs="Arial"/>
          <w:b/>
          <w:bCs/>
          <w:sz w:val="20"/>
          <w:szCs w:val="20"/>
        </w:rPr>
      </w:pPr>
      <w:r w:rsidRPr="001971B7">
        <w:rPr>
          <w:rStyle w:val="Strong"/>
          <w:rFonts w:ascii="Arial" w:hAnsi="Arial" w:cs="Arial"/>
          <w:b w:val="0"/>
          <w:bCs w:val="0"/>
          <w:color w:val="545454"/>
          <w:sz w:val="20"/>
          <w:szCs w:val="20"/>
          <w:shd w:val="clear" w:color="auto" w:fill="FFFFFF"/>
        </w:rPr>
        <w:t>Contents written and provided b</w:t>
      </w:r>
      <w:r w:rsidRPr="001971B7">
        <w:rPr>
          <w:rStyle w:val="Strong"/>
          <w:rFonts w:ascii="Arial" w:hAnsi="Arial" w:cs="Arial"/>
          <w:b w:val="0"/>
          <w:bCs w:val="0"/>
          <w:color w:val="545454"/>
          <w:sz w:val="20"/>
          <w:szCs w:val="20"/>
          <w:shd w:val="clear" w:color="auto" w:fill="FFFFFF"/>
        </w:rPr>
        <w:t>y Andy Ives, CFP®, AIF®</w:t>
      </w:r>
      <w:r w:rsidRPr="001971B7">
        <w:rPr>
          <w:rStyle w:val="Strong"/>
          <w:rFonts w:ascii="Arial" w:hAnsi="Arial" w:cs="Arial"/>
          <w:b w:val="0"/>
          <w:bCs w:val="0"/>
          <w:color w:val="545454"/>
          <w:sz w:val="20"/>
          <w:szCs w:val="20"/>
          <w:shd w:val="clear" w:color="auto" w:fill="FFFFFF"/>
        </w:rPr>
        <w:t xml:space="preserve">, </w:t>
      </w:r>
      <w:r w:rsidRPr="001971B7">
        <w:rPr>
          <w:rStyle w:val="Strong"/>
          <w:rFonts w:ascii="Arial" w:hAnsi="Arial" w:cs="Arial"/>
          <w:b w:val="0"/>
          <w:bCs w:val="0"/>
          <w:color w:val="545454"/>
          <w:sz w:val="20"/>
          <w:szCs w:val="20"/>
          <w:shd w:val="clear" w:color="auto" w:fill="FFFFFF"/>
        </w:rPr>
        <w:t>IRA Analyst</w:t>
      </w:r>
      <w:r w:rsidRPr="001971B7">
        <w:rPr>
          <w:rStyle w:val="Strong"/>
          <w:rFonts w:ascii="Arial" w:hAnsi="Arial" w:cs="Arial"/>
          <w:b w:val="0"/>
          <w:bCs w:val="0"/>
          <w:color w:val="545454"/>
          <w:sz w:val="20"/>
          <w:szCs w:val="20"/>
          <w:shd w:val="clear" w:color="auto" w:fill="FFFFFF"/>
        </w:rPr>
        <w:t xml:space="preserve"> </w:t>
      </w:r>
      <w:r w:rsidR="001971B7" w:rsidRPr="001971B7">
        <w:rPr>
          <w:rStyle w:val="Strong"/>
          <w:rFonts w:ascii="Arial" w:hAnsi="Arial" w:cs="Arial"/>
          <w:b w:val="0"/>
          <w:bCs w:val="0"/>
          <w:color w:val="545454"/>
          <w:sz w:val="20"/>
          <w:szCs w:val="20"/>
          <w:shd w:val="clear" w:color="auto" w:fill="FFFFFF"/>
        </w:rPr>
        <w:t>w</w:t>
      </w:r>
      <w:r w:rsidRPr="001971B7">
        <w:rPr>
          <w:rStyle w:val="Strong"/>
          <w:rFonts w:ascii="Arial" w:hAnsi="Arial" w:cs="Arial"/>
          <w:b w:val="0"/>
          <w:bCs w:val="0"/>
          <w:color w:val="545454"/>
          <w:sz w:val="20"/>
          <w:szCs w:val="20"/>
          <w:shd w:val="clear" w:color="auto" w:fill="FFFFFF"/>
        </w:rPr>
        <w:t xml:space="preserve">ith Ed Slott and Company </w:t>
      </w:r>
      <w:r w:rsidR="001971B7" w:rsidRPr="001971B7">
        <w:rPr>
          <w:rStyle w:val="Strong"/>
          <w:rFonts w:ascii="Arial" w:hAnsi="Arial" w:cs="Arial"/>
          <w:b w:val="0"/>
          <w:bCs w:val="0"/>
          <w:color w:val="545454"/>
          <w:sz w:val="20"/>
          <w:szCs w:val="20"/>
          <w:shd w:val="clear" w:color="auto" w:fill="FFFFFF"/>
        </w:rPr>
        <w:t>2024</w:t>
      </w:r>
      <w:r w:rsidR="001971B7" w:rsidRPr="001971B7">
        <w:rPr>
          <w:rFonts w:ascii="Arial" w:hAnsi="Arial" w:cs="Arial"/>
          <w:b/>
          <w:bCs/>
          <w:color w:val="545454"/>
          <w:sz w:val="20"/>
          <w:szCs w:val="20"/>
          <w:shd w:val="clear" w:color="auto" w:fill="FFFFFF"/>
        </w:rPr>
        <w:t xml:space="preserve"> </w:t>
      </w:r>
      <w:r w:rsidR="001971B7" w:rsidRPr="001971B7">
        <w:rPr>
          <w:rFonts w:ascii="Arial" w:hAnsi="Arial" w:cs="Arial"/>
          <w:color w:val="545454"/>
          <w:sz w:val="20"/>
          <w:szCs w:val="20"/>
          <w:shd w:val="clear" w:color="auto" w:fill="FFFFFF"/>
        </w:rPr>
        <w:t xml:space="preserve">copyright 2024, Ed Slott and Company, </w:t>
      </w:r>
      <w:proofErr w:type="gramStart"/>
      <w:r w:rsidR="001971B7" w:rsidRPr="001971B7">
        <w:rPr>
          <w:rFonts w:ascii="Arial" w:hAnsi="Arial" w:cs="Arial"/>
          <w:color w:val="545454"/>
          <w:sz w:val="20"/>
          <w:szCs w:val="20"/>
          <w:shd w:val="clear" w:color="auto" w:fill="FFFFFF"/>
        </w:rPr>
        <w:t>LLC  Reprinted</w:t>
      </w:r>
      <w:proofErr w:type="gramEnd"/>
      <w:r w:rsidR="001971B7" w:rsidRPr="001971B7">
        <w:rPr>
          <w:rFonts w:ascii="Arial" w:hAnsi="Arial" w:cs="Arial"/>
          <w:color w:val="545454"/>
          <w:sz w:val="20"/>
          <w:szCs w:val="20"/>
          <w:shd w:val="clear" w:color="auto" w:fill="FFFFFF"/>
        </w:rPr>
        <w:t xml:space="preserve"> with permission.</w:t>
      </w:r>
      <w:r w:rsidRPr="001971B7">
        <w:rPr>
          <w:rFonts w:ascii="Arial" w:hAnsi="Arial" w:cs="Arial"/>
          <w:b/>
          <w:bCs/>
          <w:color w:val="545454"/>
          <w:sz w:val="20"/>
          <w:szCs w:val="20"/>
          <w:shd w:val="clear" w:color="auto" w:fill="FFFFFF"/>
        </w:rPr>
        <w:br/>
      </w:r>
    </w:p>
    <w:p w14:paraId="4DD8CEE7" w14:textId="77777777" w:rsidR="001971B7" w:rsidRPr="001971B7" w:rsidRDefault="001971B7">
      <w:pPr>
        <w:rPr>
          <w:rFonts w:ascii="Arial" w:hAnsi="Arial" w:cs="Arial"/>
          <w:b/>
          <w:bCs/>
          <w:sz w:val="20"/>
          <w:szCs w:val="20"/>
        </w:rPr>
      </w:pPr>
    </w:p>
    <w:p w14:paraId="7AD35174" w14:textId="6E44E487" w:rsidR="001971B7" w:rsidRDefault="001971B7" w:rsidP="001971B7">
      <w:pPr>
        <w:spacing w:before="100" w:beforeAutospacing="1" w:after="100" w:afterAutospacing="1"/>
      </w:pPr>
      <w:r w:rsidRPr="001971B7">
        <w:rPr>
          <w:rStyle w:val="contentpasted0"/>
          <w:rFonts w:ascii="Arial" w:hAnsi="Arial" w:cs="Arial"/>
          <w:color w:val="000000"/>
          <w:sz w:val="16"/>
          <w:szCs w:val="16"/>
          <w:shd w:val="clear" w:color="auto" w:fill="FFFFFF"/>
        </w:rPr>
        <w:t xml:space="preserve">Solid Wealth Company is a DBA of and offers investment advisory services through Bison Advisors, an SEC Registered Investment Adviser. Advisory representatives may also be insurance agents with licensed insurance agencies and receive compensation for products sold. Securities and Insurance products may lose value and are not insured by the FDIC.  Bison Advisors analyzes but does not </w:t>
      </w:r>
      <w:r w:rsidRPr="001971B7">
        <w:rPr>
          <w:rStyle w:val="contentpasted0"/>
          <w:rFonts w:ascii="Arial" w:hAnsi="Arial" w:cs="Arial"/>
          <w:color w:val="000000"/>
          <w:sz w:val="16"/>
          <w:szCs w:val="16"/>
        </w:rPr>
        <w:t>provide</w:t>
      </w:r>
      <w:r w:rsidRPr="001971B7">
        <w:rPr>
          <w:rStyle w:val="contentpasted0"/>
          <w:rFonts w:ascii="Arial" w:hAnsi="Arial" w:cs="Arial"/>
          <w:sz w:val="16"/>
          <w:szCs w:val="16"/>
        </w:rPr>
        <w:t xml:space="preserve"> legal or tax advice.</w:t>
      </w:r>
      <w:r w:rsidRPr="001971B7">
        <w:rPr>
          <w:rStyle w:val="contentpasted0"/>
          <w:rFonts w:ascii="Arial" w:hAnsi="Arial" w:cs="Arial"/>
          <w:color w:val="000000"/>
          <w:sz w:val="16"/>
          <w:szCs w:val="16"/>
          <w:shd w:val="clear" w:color="auto" w:fill="FFFFFF"/>
        </w:rPr>
        <w:t> </w:t>
      </w:r>
    </w:p>
    <w:sectPr w:rsidR="001971B7" w:rsidSect="001971B7">
      <w:pgSz w:w="12240" w:h="15840"/>
      <w:pgMar w:top="630" w:right="1440" w:bottom="1440" w:left="1440" w:header="720" w:footer="720" w:gutter="0"/>
      <w:pgBorders w:offsetFrom="page">
        <w:top w:val="double" w:sz="4" w:space="24" w:color="80340D" w:themeColor="accent2" w:themeShade="80"/>
        <w:left w:val="double" w:sz="4" w:space="24" w:color="80340D" w:themeColor="accent2" w:themeShade="80"/>
        <w:bottom w:val="double" w:sz="4" w:space="24" w:color="80340D" w:themeColor="accent2" w:themeShade="80"/>
        <w:right w:val="double" w:sz="4" w:space="24" w:color="80340D" w:themeColor="accent2"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AE"/>
    <w:rsid w:val="000906EF"/>
    <w:rsid w:val="001971B7"/>
    <w:rsid w:val="007612AE"/>
    <w:rsid w:val="00771840"/>
    <w:rsid w:val="0084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A3A6"/>
  <w15:chartTrackingRefBased/>
  <w15:docId w15:val="{0EFF2373-B02A-440C-84D6-1F9739A5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2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2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2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2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2AE"/>
    <w:rPr>
      <w:rFonts w:eastAsiaTheme="majorEastAsia" w:cstheme="majorBidi"/>
      <w:color w:val="272727" w:themeColor="text1" w:themeTint="D8"/>
    </w:rPr>
  </w:style>
  <w:style w:type="paragraph" w:styleId="Title">
    <w:name w:val="Title"/>
    <w:basedOn w:val="Normal"/>
    <w:next w:val="Normal"/>
    <w:link w:val="TitleChar"/>
    <w:uiPriority w:val="10"/>
    <w:qFormat/>
    <w:rsid w:val="00761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2AE"/>
    <w:pPr>
      <w:spacing w:before="160"/>
      <w:jc w:val="center"/>
    </w:pPr>
    <w:rPr>
      <w:i/>
      <w:iCs/>
      <w:color w:val="404040" w:themeColor="text1" w:themeTint="BF"/>
    </w:rPr>
  </w:style>
  <w:style w:type="character" w:customStyle="1" w:styleId="QuoteChar">
    <w:name w:val="Quote Char"/>
    <w:basedOn w:val="DefaultParagraphFont"/>
    <w:link w:val="Quote"/>
    <w:uiPriority w:val="29"/>
    <w:rsid w:val="007612AE"/>
    <w:rPr>
      <w:i/>
      <w:iCs/>
      <w:color w:val="404040" w:themeColor="text1" w:themeTint="BF"/>
    </w:rPr>
  </w:style>
  <w:style w:type="paragraph" w:styleId="ListParagraph">
    <w:name w:val="List Paragraph"/>
    <w:basedOn w:val="Normal"/>
    <w:uiPriority w:val="34"/>
    <w:qFormat/>
    <w:rsid w:val="007612AE"/>
    <w:pPr>
      <w:ind w:left="720"/>
      <w:contextualSpacing/>
    </w:pPr>
  </w:style>
  <w:style w:type="character" w:styleId="IntenseEmphasis">
    <w:name w:val="Intense Emphasis"/>
    <w:basedOn w:val="DefaultParagraphFont"/>
    <w:uiPriority w:val="21"/>
    <w:qFormat/>
    <w:rsid w:val="007612AE"/>
    <w:rPr>
      <w:i/>
      <w:iCs/>
      <w:color w:val="0F4761" w:themeColor="accent1" w:themeShade="BF"/>
    </w:rPr>
  </w:style>
  <w:style w:type="paragraph" w:styleId="IntenseQuote">
    <w:name w:val="Intense Quote"/>
    <w:basedOn w:val="Normal"/>
    <w:next w:val="Normal"/>
    <w:link w:val="IntenseQuoteChar"/>
    <w:uiPriority w:val="30"/>
    <w:qFormat/>
    <w:rsid w:val="00761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2AE"/>
    <w:rPr>
      <w:i/>
      <w:iCs/>
      <w:color w:val="0F4761" w:themeColor="accent1" w:themeShade="BF"/>
    </w:rPr>
  </w:style>
  <w:style w:type="character" w:styleId="IntenseReference">
    <w:name w:val="Intense Reference"/>
    <w:basedOn w:val="DefaultParagraphFont"/>
    <w:uiPriority w:val="32"/>
    <w:qFormat/>
    <w:rsid w:val="007612AE"/>
    <w:rPr>
      <w:b/>
      <w:bCs/>
      <w:smallCaps/>
      <w:color w:val="0F4761" w:themeColor="accent1" w:themeShade="BF"/>
      <w:spacing w:val="5"/>
    </w:rPr>
  </w:style>
  <w:style w:type="character" w:styleId="Emphasis">
    <w:name w:val="Emphasis"/>
    <w:basedOn w:val="DefaultParagraphFont"/>
    <w:uiPriority w:val="20"/>
    <w:qFormat/>
    <w:rsid w:val="008472F8"/>
    <w:rPr>
      <w:i/>
      <w:iCs/>
    </w:rPr>
  </w:style>
  <w:style w:type="character" w:styleId="Strong">
    <w:name w:val="Strong"/>
    <w:basedOn w:val="DefaultParagraphFont"/>
    <w:uiPriority w:val="22"/>
    <w:qFormat/>
    <w:rsid w:val="008472F8"/>
    <w:rPr>
      <w:b/>
      <w:bCs/>
    </w:rPr>
  </w:style>
  <w:style w:type="character" w:styleId="Hyperlink">
    <w:name w:val="Hyperlink"/>
    <w:basedOn w:val="DefaultParagraphFont"/>
    <w:uiPriority w:val="99"/>
    <w:semiHidden/>
    <w:unhideWhenUsed/>
    <w:rsid w:val="008472F8"/>
    <w:rPr>
      <w:color w:val="0000FF"/>
      <w:u w:val="single"/>
    </w:rPr>
  </w:style>
  <w:style w:type="character" w:customStyle="1" w:styleId="contentpasted0">
    <w:name w:val="contentpasted0"/>
    <w:basedOn w:val="DefaultParagraphFont"/>
    <w:rsid w:val="00197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F242F1810F94E801627A0C24A7180" ma:contentTypeVersion="18" ma:contentTypeDescription="Create a new document." ma:contentTypeScope="" ma:versionID="336b69915641879a335bcb78b0adef17">
  <xsd:schema xmlns:xsd="http://www.w3.org/2001/XMLSchema" xmlns:xs="http://www.w3.org/2001/XMLSchema" xmlns:p="http://schemas.microsoft.com/office/2006/metadata/properties" xmlns:ns2="03692ed8-3133-4769-9954-07d455d29281" xmlns:ns3="6adc0873-450b-4474-985f-b4d55f253499" targetNamespace="http://schemas.microsoft.com/office/2006/metadata/properties" ma:root="true" ma:fieldsID="6119126ceee60808adcc5d7cdf8f1765" ns2:_="" ns3:_="">
    <xsd:import namespace="03692ed8-3133-4769-9954-07d455d29281"/>
    <xsd:import namespace="6adc0873-450b-4474-985f-b4d55f2534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92ed8-3133-4769-9954-07d455d29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a24b50-38ee-4f29-8eea-646a16de41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c0873-450b-4474-985f-b4d55f2534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50b4f4-2a7d-4650-ac02-db5126fd1e8f}" ma:internalName="TaxCatchAll" ma:showField="CatchAllData" ma:web="6adc0873-450b-4474-985f-b4d55f253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692ed8-3133-4769-9954-07d455d29281">
      <Terms xmlns="http://schemas.microsoft.com/office/infopath/2007/PartnerControls"/>
    </lcf76f155ced4ddcb4097134ff3c332f>
    <TaxCatchAll xmlns="6adc0873-450b-4474-985f-b4d55f253499" xsi:nil="true"/>
  </documentManagement>
</p:properties>
</file>

<file path=customXml/itemProps1.xml><?xml version="1.0" encoding="utf-8"?>
<ds:datastoreItem xmlns:ds="http://schemas.openxmlformats.org/officeDocument/2006/customXml" ds:itemID="{59D97B4A-7B73-4160-82FC-022A7BDCEFF6}"/>
</file>

<file path=customXml/itemProps2.xml><?xml version="1.0" encoding="utf-8"?>
<ds:datastoreItem xmlns:ds="http://schemas.openxmlformats.org/officeDocument/2006/customXml" ds:itemID="{26A1DB0F-14FC-46EB-AF9F-7CB74623DF0B}"/>
</file>

<file path=customXml/itemProps3.xml><?xml version="1.0" encoding="utf-8"?>
<ds:datastoreItem xmlns:ds="http://schemas.openxmlformats.org/officeDocument/2006/customXml" ds:itemID="{5E456393-27C4-4692-920C-1D454108682B}"/>
</file>

<file path=docProps/app.xml><?xml version="1.0" encoding="utf-8"?>
<Properties xmlns="http://schemas.openxmlformats.org/officeDocument/2006/extended-properties" xmlns:vt="http://schemas.openxmlformats.org/officeDocument/2006/docPropsVTypes">
  <Template>Normal</Template>
  <TotalTime>36</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Gibbons</dc:creator>
  <cp:keywords/>
  <dc:description/>
  <cp:lastModifiedBy>Pam Gibbons</cp:lastModifiedBy>
  <cp:revision>1</cp:revision>
  <cp:lastPrinted>2024-04-11T19:41:00Z</cp:lastPrinted>
  <dcterms:created xsi:type="dcterms:W3CDTF">2024-04-11T19:05:00Z</dcterms:created>
  <dcterms:modified xsi:type="dcterms:W3CDTF">2024-04-11T19:45:00Z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0x010100196F242F1810F94E801627A0C24A7180</vt:lpwstr>
  </property>
</Properties>
</file>